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DD" w:rsidRDefault="003E7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Анализ  работы Муниципального  казенного дошкольного образовательного учреждения </w:t>
      </w:r>
    </w:p>
    <w:p w:rsidR="00FD4EDD" w:rsidRDefault="003E7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«Детский сад №  51  «Колосок» за2021  год.</w:t>
      </w:r>
    </w:p>
    <w:p w:rsidR="00FD4EDD" w:rsidRDefault="00FD4EDD">
      <w:pPr>
        <w:jc w:val="center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№ 51 «Колосок». Сокращенное наименование: МКДОУ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«Детский сад № 51 «Колосок»</w:t>
      </w:r>
    </w:p>
    <w:p w:rsidR="00FD4EDD" w:rsidRDefault="003E7EB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 по адресу: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Юридический адрес: 623 640, Свердловская  область,  Талицкий район,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д. Белая Елань, ул. Будённого, д.85.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Телефон: 37134-5-35-84, эл. почта: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kolosok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-51@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yandex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</w:p>
    <w:p w:rsidR="00FD4EDD" w:rsidRDefault="003E7EB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Учредителем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 Управление образования Администрации Талицкого городского округа. </w:t>
      </w:r>
    </w:p>
    <w:p w:rsidR="00FD4EDD" w:rsidRDefault="003E7EB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 623640 Свердловская область, г. Талица, ул.  Луначарского. 57</w:t>
      </w:r>
    </w:p>
    <w:p w:rsidR="00FD4EDD" w:rsidRDefault="003E7EB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ДОУ имеется:</w:t>
      </w:r>
    </w:p>
    <w:p w:rsidR="00FD4EDD" w:rsidRDefault="003E7EB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лицензия на право ведения образовательной деятельности, выданная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общего и профессионального образования Свердловской области бессрочная, серия 66 ЛО1 № 0005095, регистрационный номер 18702   от 23.05. 2016 г.</w:t>
      </w:r>
    </w:p>
    <w:p w:rsidR="00FD4EDD" w:rsidRDefault="003E7EB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Устав,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в ИФНС России по Верх-Исетскому району г. Екатеринбурга № 19 от 15 января 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1069654002098,  ИНН: 6654010590,  </w:t>
      </w:r>
    </w:p>
    <w:p w:rsidR="00FD4EDD" w:rsidRDefault="003E7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663301001.</w:t>
      </w:r>
    </w:p>
    <w:p w:rsidR="00FD4EDD" w:rsidRDefault="003E7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Оформлена система локальных актов, обеспечивающих функционирование ДОУ. Система договорных отношений, регламентирующих деятельность ДОУ,  представлен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а:</w:t>
      </w:r>
    </w:p>
    <w:p w:rsidR="00FD4EDD" w:rsidRDefault="003E7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Договором о взаимоотношениях между ДОУ и Учредителем;</w:t>
      </w:r>
    </w:p>
    <w:p w:rsidR="00FD4EDD" w:rsidRDefault="003E7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Трудовым договором с руководителем ДОУ;</w:t>
      </w:r>
    </w:p>
    <w:p w:rsidR="00FD4EDD" w:rsidRDefault="003E7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Коллективным договором;</w:t>
      </w:r>
    </w:p>
    <w:p w:rsidR="00FD4EDD" w:rsidRDefault="003E7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Договором с родителями;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№ 51 «Колосок» находится в отдельно стоящем двухэтажном здании, построенном в 1988году на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мест и расположено в центральной части деревни. Но детский сад занимает часть здания площадью 672,1 кв.м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работы: рабочая неделя — пятидневная;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работы - 10 часов;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график работы с 7.30 ч. до 17.30 ч.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функционирует 3 группы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списочный состав – 44 ребёнок.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видами деятельности Учреждения являются: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1). Реализация основной образовательной программы дошкольного образования;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2). Присмотр и уход за детьми.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комплектования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 детьми определяется Учредителем, Администрацией Талицкого городского округа, в лице Управления образования в соответствии с действующим законодательством Российской Федерации.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системы управления учреждения.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Управление Муниципальным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азенным дошкольным образовательным учреждением «Детский сад № 51 «Колосок» осуществляется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учреждением всех участников образовательного процесса.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Структура управления образовательным учреждением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1.Государственно-общественное управление: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структура - административное управление, которое имеет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линейную структуру: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исполняющий  обязанности заведующего.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ДОУ  осуществляет исполняющий  обязанности заведующего.  Управленческая деятельность исполняющего  обязанности заведующего обеспечивает материальные,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изационные, правовые, социально-психологические условия для реализации функций управления образовательным процессом в МКДОУ.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управления исполняющего  обязанности заведующего  - весь коллектив.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заведующий хозяйством.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управленца второго уровня - часть коллектива согласно функциональным обязанностям.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основным местом работы.  Педагогический совет осуществляет руководство образовательной деятельностью.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содержания и качества  подготовки воспитанников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образовательной программы ДОУ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ДОУ реализуется Основная образовательная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дошкольного образования МКДОУ «Детский сад № 51 «Колосок»  (далее - Программа)  разработанная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соответствии с федеральным государственным образовательным стандартом дошкольного образования на основе инновационной программы дошкольного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школы» под редакцией Н.Е. Вераксы.Т.С.  Комаровой, Э.М. Дорофеевой.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 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 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тоятельная деятельность; опыты и экспериментирование.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Педагогический коллектив использует в своей работе новые обучающие технологии, комплексные и авторские программы: </w:t>
      </w: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2802"/>
        <w:gridCol w:w="11907"/>
      </w:tblGrid>
      <w:tr w:rsidR="00FD4ED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</w:tr>
      <w:tr w:rsidR="00FD4ED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рождения до школы « инновацион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 программа дошкольного образования (под редакцией.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Н.Е Вараксы, Т.С.Комаровой, М.А.Васильевой.2015г.)</w:t>
            </w:r>
          </w:p>
          <w:p w:rsidR="00FD4EDD" w:rsidRDefault="00FD4ED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4ED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 развитие</w:t>
            </w:r>
          </w:p>
          <w:p w:rsidR="00FD4EDD" w:rsidRDefault="00FD4E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рождения до школы « инновационной программа дошкольного образования (под редакцией. Н.Е Вараксы, Т.С.Комаровой, М.А.Ва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сильевой.2015г.)</w:t>
            </w:r>
          </w:p>
        </w:tc>
      </w:tr>
      <w:tr w:rsidR="00FD4ED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 эстетическое развитие</w:t>
            </w:r>
          </w:p>
        </w:tc>
        <w:tc>
          <w:tcPr>
            <w:tcW w:w="1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рождения до школы « инновационной программа дошкольного образования (под редакцией. Н.Е Вараксы, Т.С.Комаровой, М.А.Васильевой.2015г.)</w:t>
            </w:r>
          </w:p>
          <w:p w:rsidR="00FD4EDD" w:rsidRDefault="003E7EB6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 художественного воспитания, обучения и развития дете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 2-7 лет «Цветные ладошки» автор Лыкова И.А.</w:t>
            </w:r>
          </w:p>
        </w:tc>
      </w:tr>
      <w:tr w:rsidR="00FD4ED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рождения до школы « инновационной программа дошкольного образования (под редакцией. Н.Е Вараксы, Т.С.Комаровой, М.А.Васильевой.2015г.)</w:t>
            </w:r>
          </w:p>
          <w:p w:rsidR="00FD4EDD" w:rsidRDefault="00FD4ED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936"/>
        <w:gridCol w:w="2406"/>
        <w:gridCol w:w="2413"/>
      </w:tblGrid>
      <w:tr w:rsidR="00FD4EDD">
        <w:trPr>
          <w:trHeight w:val="74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освоения программы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2019-2020уч.г.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 уч.г.</w:t>
            </w:r>
          </w:p>
        </w:tc>
      </w:tr>
      <w:tr w:rsidR="00FD4EDD">
        <w:trPr>
          <w:trHeight w:val="36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FD4EDD">
        <w:trPr>
          <w:trHeight w:val="36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FD4EDD">
        <w:trPr>
          <w:trHeight w:val="38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</w:tbl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 Результатом осуществления воспитательно-образовательного процесса явилась  подготовка детей к обучению  в школе. Готовность дошкольника к обучению в школе характеризует достигнутый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освоения образовательной программы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освоения ОП (подготовительная группа)</w:t>
      </w:r>
    </w:p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3224"/>
        <w:gridCol w:w="2271"/>
        <w:gridCol w:w="2268"/>
        <w:gridCol w:w="2268"/>
      </w:tblGrid>
      <w:tr w:rsidR="00FD4EDD">
        <w:tc>
          <w:tcPr>
            <w:tcW w:w="3223" w:type="dxa"/>
          </w:tcPr>
          <w:p w:rsidR="00FD4EDD" w:rsidRDefault="00FD4E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</w:tc>
      </w:tr>
      <w:tr w:rsidR="00FD4EDD">
        <w:tc>
          <w:tcPr>
            <w:tcW w:w="3223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271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D4EDD">
        <w:tc>
          <w:tcPr>
            <w:tcW w:w="3223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271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FD4EDD">
        <w:tc>
          <w:tcPr>
            <w:tcW w:w="3223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271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D4EDD">
        <w:tc>
          <w:tcPr>
            <w:tcW w:w="3223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271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Одним из показателей оценки качества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участие воспитанников МКДОУ в конкурсах разного уровня. Дети принимают участие в выставках, соревнованиях, смотрах, проводимых в городе и детском саду, которые обеспечивают выявление одаренных и способных детей, а также место для реализации их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рческого потенциала.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рисунков: «Огонь – друг, огонь – враг» выставка рисунков – 10 детей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рисунков «Портрет мамы» в детском саду – 20 человек.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совместных работ с родителями «Новогодняя ёлка» - 12человек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акция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 совместно с МКУДО «Дворец творчества» и ФГБУ «Национальный парк «Припышминские боры» «Вечнозелённый стиль», «Птица+кормушка счастливая птица» 6 детей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Принимали участие в патриотической акции  «Сильные духом» читаем книги о разведчиках, акция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 звёзд и галактик» читаем о космосе   посвященную дню космонавтики  принимали участие дети подготовительной и старшей группы.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Воспитанники нашего детского сада принимают участие во Всероссийской акции «Кросс Нации», в забеге «Лыжня России» в 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саду.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Кадровое обеспечение учебно – воспитательного процесса -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квалификация педагогических кадров дошкольного образовательного учреждения.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педагогических работников: 5 человек</w:t>
      </w:r>
    </w:p>
    <w:tbl>
      <w:tblPr>
        <w:tblW w:w="9704" w:type="dxa"/>
        <w:tblLayout w:type="fixed"/>
        <w:tblLook w:val="04A0" w:firstRow="1" w:lastRow="0" w:firstColumn="1" w:lastColumn="0" w:noHBand="0" w:noVBand="1"/>
      </w:tblPr>
      <w:tblGrid>
        <w:gridCol w:w="1002"/>
        <w:gridCol w:w="1250"/>
        <w:gridCol w:w="1434"/>
        <w:gridCol w:w="1522"/>
        <w:gridCol w:w="813"/>
        <w:gridCol w:w="997"/>
        <w:gridCol w:w="1167"/>
        <w:gridCol w:w="1519"/>
      </w:tblGrid>
      <w:tr w:rsidR="00FD4EDD"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(человек)</w:t>
            </w:r>
          </w:p>
        </w:tc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Квалификац. категория (чел.)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(чел.)</w:t>
            </w:r>
          </w:p>
        </w:tc>
      </w:tr>
      <w:tr w:rsidR="00FD4EDD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FD4E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Ср.-специал.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</w:t>
            </w:r>
          </w:p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кат.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1кв. кат.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</w:p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лет</w:t>
            </w:r>
          </w:p>
          <w:p w:rsidR="00FD4EDD" w:rsidRDefault="00FD4E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4EDD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1(соответ.)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</w:t>
            </w:r>
          </w:p>
        </w:tc>
      </w:tr>
    </w:tbl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Здание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детского сада типовое, двухэтажное, 1988 года застройки.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Год ввода в эксплуатацию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-1988 год. Состояние здания удовлетворительное. Ежегодно проводится текущий и косметический ремонт.  Системы жизнеобеспечения находятся в удовлетворительном рабочем состоянии.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Строительные нормы и правила  соответствуют требованиям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ожарной безопасности,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подтверждено заключением  от 14. 09. 2006 г., № 000 062, выданное МЧС России  Управлением государственного пожарного надзора Свердловской области отделом Государственного пожарного надзора Талицкого района.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Ограждение участка детского сада 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всему периметру соответствует требованиям  госпожнадзора (высота - 1,2м.), протяженность -520м,  состояние удовлетворительное. 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образовательном учреждении имеется холодное водоснабжение.  Для обеспечения горячей водой, в каждой возрастной группе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 на пищеблоке, в медицинском кабинете установлены водонагреватели. 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Уровень освещенности групповых помещений соответствуют требованиям СанПиН 2.1.4.1074-01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(Протокол лабораторных испытаний от 08.09.2021 года) воздушно – тепловой  и питьевой ре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жимы соответствуют требованиям СанПиН 2.1.4.1074-01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(Протокола лабораторных испытаний от 28.08.2019 года).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Дератизация и дезинсекция  проводится регулярно на основании договора № 14/1646  от 16.04.2021 года.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Условия в муниципальном казенн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ом дошкольном образовательном учреждении соответствуют установленным требованиям и нормативам, что подтверждается следующими документами:   санитарно-эпидемиологическим заключением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14.04. 2006 г. № 66.28.12.110. М 000029. 04.09., выданным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Федеральной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службой по надзору в сфере защиты прав потребителей и благополучия человека, территориальным отделом в Талицком районе, Байкаловском районе и Тугулымском районе.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аличие и сроки действия документов, подтверждающих право пользования помещением: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муниципальном казенном дошкольном образовательном учреждении имеется Договор о закреплении муниципального имущества на  праве  оперативного управления - от 15.03.2016 г. № 2.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Общая, полезная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площадь образовательного учреждения (детский сад зан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имает часть здания):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Всего – 672,1 кв. м., в т.ч. учебная –  221,4 кв. м , т.ч. музыкально-спортивный зал – 73,8 кв. м (4,0 кв. м на 1 ребенка).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Общая площадь земельного участка – 4917 кв. м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Свидетельство о государственной регистрации права (собст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венности на землю) –  от 14.017.2016 года, Государственный регистратор 66-66/009-66/009/300/2016-3794/1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 работы: 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Пятидневная рабочая неделя.  10 часовой режим работы  - 7.30 до 17.30 часов.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Режим работы установлен Учредителем и соответств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ует Уставу учреждения.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Численность детей за 2021 год – 44 человека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них воспитанников с 1,5 лет до 3 лет - 10человек, с 3 до 7 лет -34 чел.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Групп круглосуточного пребывания и групп с кратковременным пребыванием в ДОУ нет.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настоящее время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  функционируют следующие группы: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группа ( 1,5 -3 года)                                   - 10 человек;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Вторая группа ( 3-5 лет)                                        - 16человека;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Третья группа ( 5 - 7 лет)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- 18 человек;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Соблюдение требований по охране здоровья обучающихся, воспитанников и работников образовательного учреждения: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Для воспитанников дошкольного возраста предусмотрены перерывы между занятиями -10 мин.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Количество занятий – от 10 в млад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шей группе ,  14 -17 в  старшей  разновозрастной группе. Проводится  3 –е физкультурное занятие -  на воздухе. Длительность занятий от 10 минут – до 20 -25 минут. 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Реализуется национально-региональный компонент как в  регламентированных, так и в нерег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ламентированных видах деятельности через ознакомление с историей родного края.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учебных  занятий,  в том числе дополнительных,  в каждой  возрастной группе   соответствует  требованиям  санитарных норм и правил и государственного образовательного стандарта.   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Детская мебель  соответствует ростовым и возрастным показате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лям, промаркирована.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В учреждении имеется нормативно-правовая документация, регулирующая деятельность по охране труда и технике безопасности сотрудников, а также охрану жизни  и здоровья воспитанников (Приказы, планы эвакуации, журналы, инструкции по 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ТБ  на каждого сотрудника и по видам работ; оформлена стендовая информация по пожарной безопасности, правилам дорожного движения и др.)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Установлена автоматическая пожарная сигнализация  (договор на обслуживание № 27/ПС от 22.01.2021г.)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Имеется паспорт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безопасности, утвержденный  29.11.2019г.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дошкольном учреждении случаев травматизма с сотрудниками и воспитанниками не было зафиксировано, что подтверждается записями в журналах по учету несчастных случаев с сотрудниками и воспитанниками.</w:t>
      </w:r>
    </w:p>
    <w:p w:rsidR="00FD4EDD" w:rsidRDefault="003E7EB6">
      <w:pP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питания и медицинского обслуживания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FD4EDD" w:rsidRDefault="003E7EB6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В учреждении организовано трехразовое  питание для  детей дошкольного возраста в соответствии с 10-ти дневным меню, утвержденным  заведующим МКДОУ «Детский сад № 51 «Колосок». Нормативы  питания соответствуют возрас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тным особенностям детей, требованиям СанПиН (2.3.2.1078-01).          </w:t>
      </w:r>
    </w:p>
    <w:p w:rsidR="00FD4EDD" w:rsidRDefault="003E7EB6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      Пищеблок  оснащен необходимым технологическим оборудованием, в соответствии с требованиями санитарных норм и правил – электрические плита с духовкой ( 1 шт),   жарочный шкаф ( 1 ш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т.), холодильники ( 2 шт.) и другое.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Питание детей организовано в групповых помещениях.  </w:t>
      </w:r>
    </w:p>
    <w:p w:rsidR="00FD4EDD" w:rsidRDefault="00FD4EDD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D4EDD" w:rsidRDefault="003E7EB6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Медицинское обслуживание осуществляется участковым фельдшером Бело- Еланского ФАПа, согласно договора с МУЗ Талицкая ЦРБ « Об организации медицинского обслуживан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ия в образовательном учреждение».  Имеется медицинский кабинет, приемная, изолятор.  В каждой  группе и  на пищеблоке  для оказания  первой медицинской помощи имеются аптечки.    </w:t>
      </w:r>
    </w:p>
    <w:p w:rsidR="00FD4EDD" w:rsidRDefault="003E7EB6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Детей ежегодно  осматривают специалисты: лор, хирург, окулист, психолог, ст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оматолог, педиатр. Прививки детям делает фельдшер Бело- Еланского ФАПа, согласно графика прививок.</w:t>
      </w:r>
    </w:p>
    <w:p w:rsidR="00FD4EDD" w:rsidRDefault="003E7EB6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Сотрудники своевременно проходят медицинский осмотр, за счет средств учредителя  по договору  с МУЗ «Талицкая ЦРБ».</w:t>
      </w:r>
    </w:p>
    <w:p w:rsidR="00FD4EDD" w:rsidRDefault="003E7EB6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Медицинские книжки заполняются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своевременно и в соответствии с требованиями санитарных правил.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Назначение учебных помещений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методический кабинет,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групповые помещения – 3, (включающие в себя спальные комнаты, туалетные, умывальные, буфетные и приемные помещения); музыкально-спортивн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ый зал.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Имеются прогулочные площадки  для каждой возрастной группы    с игровым и спортивным оборудованием.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Имеется   огород для организации трудовой и экспериментальной деятельности.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учебные помещения учреждения способствуют развитию детей в разных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видах детской деятельности – учебной, трудовой, игровой, музыкальной,   изобразительной и других.</w:t>
      </w:r>
    </w:p>
    <w:p w:rsidR="00FD4EDD" w:rsidRDefault="00FD4ED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4EDD" w:rsidRDefault="003E7EB6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Оснащенность учебного процесса библиотечно-информационными ресурсами: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образовательном учреждении идет реализация  основной  образовательной программы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дошкольного образования «От рождения до школы» под редакцией  Н.Е. Вераксы, Т.С. Комаровой, М.А. Васильевой (2018 г.).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Фонд библиотеки составляет 155 экземпляров: учебно-методическая литература - 40,  художественная – 115. </w:t>
      </w:r>
    </w:p>
    <w:p w:rsidR="00FD4EDD" w:rsidRDefault="003E7EB6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 учебных помещени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й: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Все  групповые  помещения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оборудованы в соответствии с требованиями  государственного образовательного стандарта, санитарных норм и правил. Мебель подобрана в соответствии с возрастными особенностями детей и промаркирована.</w:t>
      </w:r>
    </w:p>
    <w:p w:rsidR="00FD4EDD" w:rsidRDefault="003E7EB6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Имеются  игры, игруш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ки, дидактические пособия, технические средства обучения   способствующие развитию детей  (телевизор – 3 шт., проектор, музыкальный центр – 1 шт,  фотоаппарат -1 шт.,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DYD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плеер – 2шт., магнитофоны – 2, электросинтезатор -1, ноутбук-1).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Предметно-развива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ющая среда способствует   всестороннему развитию воспитанников:   имеются  уголки,    в которых  созданы условия для игровой, театрализованной, изобразительной  деятельности, ознакомления с природой,  предметами искусства и быта,  творческого  самовыражени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я.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 художественно-эстетического  развития   оборудован музыкальный зал и уголки с музыкальными инструментами в каждой группе.  </w:t>
      </w:r>
    </w:p>
    <w:p w:rsidR="00FD4EDD" w:rsidRDefault="003E7EB6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Образовательный ценз педагогических работников в соответствии с уровнем заявленных образовательных программ: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Образовательный ценз педагогических работников позволяет реализовать государственный образовательный стандарт с учетом местных требований :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Педагогов: 5 человек. Из них:   средне- профессиональное – 4 , высшее -1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Аттестованы:    1 категория  – 4 чел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.,  1педагог не аттестован (стаж 3 месяца)    В штате имеется  музыкальный руководитель.  Средний возраст педагогов –  49 года.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Кадровый потенциал позволяет качественно реализовать заявленные общеобразовательные программы дошкольного образования.</w:t>
      </w:r>
    </w:p>
    <w:p w:rsidR="00FD4EDD" w:rsidRDefault="003E7EB6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комплектованность штатов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Всего  в учреждении сотрудников -16 человек (100%). </w:t>
      </w:r>
    </w:p>
    <w:p w:rsidR="00FD4EDD" w:rsidRDefault="003E7EB6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Укомплектованность штатов педагогическими работниками составляет 100%  ( 5человек). </w:t>
      </w:r>
    </w:p>
    <w:p w:rsidR="00FD4EDD" w:rsidRDefault="003E7EB6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Условия  осуществления образовательного процесса,   предлагаемые  Муниципальным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дошкольным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образовательным учреждением  «Детский сад №  51  «Колосок»,  зарегистрированным по  адресу:  </w:t>
      </w:r>
    </w:p>
    <w:p w:rsidR="00FD4EDD" w:rsidRDefault="003E7E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623 640, Свердловская область,  Талицкий район,  д. Белая Елань,  ул. Будённого,  д.85, соответствуют требованиям.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квалификации.</w:t>
      </w:r>
    </w:p>
    <w:p w:rsidR="00FD4EDD" w:rsidRDefault="003E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 прошли курсы повышения квалификации по следующим программам: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W w:w="14425" w:type="dxa"/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1135"/>
        <w:gridCol w:w="140"/>
        <w:gridCol w:w="10916"/>
      </w:tblGrid>
      <w:tr w:rsidR="00FD4EDD">
        <w:tc>
          <w:tcPr>
            <w:tcW w:w="53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275" w:type="dxa"/>
            <w:gridSpan w:val="2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091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 курсов</w:t>
            </w:r>
          </w:p>
        </w:tc>
      </w:tr>
      <w:tr w:rsidR="00FD4EDD">
        <w:tc>
          <w:tcPr>
            <w:tcW w:w="53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01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Нехорошкова Наталья</w:t>
            </w:r>
          </w:p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13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1055" w:type="dxa"/>
            <w:gridSpan w:val="2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центр «всеобуч» общество с ограниченной ответственностью «Агенство 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социальных технологий» по программе повышение квалификации «Организация экологического образования детей дошкольного возраста в соответствии с ФГОС ДО» 48 часов</w:t>
            </w:r>
          </w:p>
        </w:tc>
      </w:tr>
      <w:tr w:rsidR="00FD4EDD">
        <w:tc>
          <w:tcPr>
            <w:tcW w:w="53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Галина Васильевна</w:t>
            </w:r>
          </w:p>
        </w:tc>
        <w:tc>
          <w:tcPr>
            <w:tcW w:w="113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1055" w:type="dxa"/>
            <w:gridSpan w:val="2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образовательное 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дополнительного профессионального образования Свердловской области « Институт образования»прошла повышение квалификации по программе «Основы финансовой грамотности детей старшего дошкольного возраста, обучение с  использованием дистанционных образовате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льных технологий»в объеме 40часов</w:t>
            </w:r>
          </w:p>
        </w:tc>
      </w:tr>
      <w:tr w:rsidR="00FD4EDD">
        <w:tc>
          <w:tcPr>
            <w:tcW w:w="53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01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 Ольга Сергеевна</w:t>
            </w:r>
          </w:p>
        </w:tc>
        <w:tc>
          <w:tcPr>
            <w:tcW w:w="113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1055" w:type="dxa"/>
            <w:gridSpan w:val="2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Прошла повышение квалификации в АНО ДПО «ОЦ Каменный город по программе:»Современные подходы к содержанию и организации образовательного процесса в условиях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реализации ФГОС ДО» в об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ъеме 72 часов</w:t>
            </w:r>
          </w:p>
        </w:tc>
      </w:tr>
    </w:tbl>
    <w:p w:rsidR="00FD4EDD" w:rsidRDefault="00FD4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 педагогов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22" w:type="dxa"/>
        <w:tblInd w:w="95" w:type="dxa"/>
        <w:tblLayout w:type="fixed"/>
        <w:tblCellMar>
          <w:top w:w="15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"/>
        <w:gridCol w:w="4961"/>
        <w:gridCol w:w="3403"/>
        <w:gridCol w:w="5527"/>
      </w:tblGrid>
      <w:tr w:rsidR="00FD4EDD">
        <w:trPr>
          <w:trHeight w:val="98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реализации ФГОС ДО»В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Дата прохождения</w:t>
            </w:r>
          </w:p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    Результат</w:t>
            </w:r>
          </w:p>
        </w:tc>
      </w:tr>
      <w:tr w:rsidR="00FD4EDD">
        <w:trPr>
          <w:trHeight w:val="77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Нехорошкова Наталья Владимировна воспитатель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21.12 2017г.</w:t>
            </w:r>
          </w:p>
          <w:p w:rsidR="00FD4EDD" w:rsidRDefault="00FD4E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 первая категория</w:t>
            </w:r>
          </w:p>
          <w:p w:rsidR="00FD4EDD" w:rsidRDefault="00FD4ED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FD4EDD" w:rsidRDefault="00FD4ED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FD4EDD">
        <w:trPr>
          <w:trHeight w:val="77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Зуева Светлана Александровна</w:t>
            </w:r>
          </w:p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30.01. 2018г.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 Первая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 категория</w:t>
            </w:r>
          </w:p>
        </w:tc>
      </w:tr>
      <w:tr w:rsidR="00FD4EDD">
        <w:trPr>
          <w:trHeight w:val="77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Галина Васильевна</w:t>
            </w:r>
          </w:p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04.12. 2018г.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  Первая категория</w:t>
            </w:r>
          </w:p>
        </w:tc>
      </w:tr>
      <w:tr w:rsidR="00FD4EDD">
        <w:trPr>
          <w:trHeight w:val="77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Астраханцева Светлана Николаевна</w:t>
            </w:r>
          </w:p>
          <w:p w:rsidR="00FD4EDD" w:rsidRDefault="003E7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29.04.2019г.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FD4EDD" w:rsidRDefault="003E7EB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 Первая категория</w:t>
            </w:r>
          </w:p>
        </w:tc>
      </w:tr>
    </w:tbl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Участие педагогов в общественной жизни </w:t>
      </w:r>
    </w:p>
    <w:p w:rsidR="00FD4EDD" w:rsidRDefault="003E7EB6">
      <w:pPr>
        <w:spacing w:after="0" w:line="240" w:lineRule="auto"/>
        <w:jc w:val="both"/>
      </w:pPr>
      <w:r>
        <w:t>П</w:t>
      </w:r>
      <w:r>
        <w:rPr>
          <w:sz w:val="28"/>
          <w:szCs w:val="28"/>
        </w:rPr>
        <w:t>ри Администрации Горбуновской  Управы  создан кординационный совет по работе с неблагополучными семьями. В работе которого принимают участие руководитель и  педагоги детского сада. Ежегодно педагоги организуют  акцию «Бессмертный полк» , в которой участвую</w:t>
      </w:r>
      <w:r>
        <w:rPr>
          <w:sz w:val="28"/>
          <w:szCs w:val="28"/>
        </w:rPr>
        <w:t xml:space="preserve">т дети  и сотрудники детского сада. 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Условия осуществления образовательной деятельности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хническое оборудование в удовлетворительном состоянии.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Развивающая предметная среда в детском саду организована в соответствии с удовлетворением потребностей ребенка в традиционных видах детской деятельности: игре, рисовании, лепке, конструировании,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двигательной, познавательной и исследовательской деятельности. Педагоги выстраивают развивающую среду, ориентируясь на желание и интересы детей и при их непосредственном участии. В обстановке помещения находятся только те материалы, которые востребованы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и выполняют развивающую функцию.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Предметно - игровая среда постоянно меняется в зависимости от интересов детей и  их уровня развития. При создании предметно – развивающей среды учитывались комфортность и безопасность обстановки; обеспечение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гатства сенсорных впечатлений; обеспечение самостоятельной индивидуальной деятельности.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Предметно – развивающая среда обогащена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разнообразным материалом,  в том числе изготовленным собственноручно воспитателями детского сада. Это многофункциональн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ые пособия, развивающие игрушки, дидактические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оборудование для театрализованной деятельности: куклы, маски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животных, костюмы сказочных героев.</w:t>
      </w:r>
    </w:p>
    <w:p w:rsidR="00FD4EDD" w:rsidRDefault="003E7E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В группах созданы уголки для разностороннего развития детей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FD4EDD" w:rsidRDefault="003E7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уголке развития речи и обучения грамоте разнообразные дидактические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игры, детские книги, альбомы, наборы картинок, которые развивают речевое творчество и речевые умения детей, обогащают словарь ребенка, создают предпосылки к обучению чтению.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Наличие разнообразных логических, развивающих, дидактических игр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у детей представления о свойствах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отношениях предметов, дети овладевают умением самостоятельно применять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им способы познания – математический уголок.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Приобрете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методические пособия и развивающие игры «Кубики для всех», «Сложи узор», «Наборы геометрических фигур», наборы деревянных напольных конструкторов, конструкторы  «Лего».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   Разыгрывание театральных спектаклей с куклами, игрушками – самоделками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уголке драматизации способствует творческому созданию игровых образов, выразительной передачи состояния и характера героев, эффективно развивает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связную и образную речь.</w:t>
      </w:r>
    </w:p>
    <w:p w:rsidR="00FD4EDD" w:rsidRDefault="003E7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Материал для развития сюжетно — ролевых игр предоставляет детям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для активной, разнообразной, самостоятельной, творческой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деятельности. В группах имеются игровые модули «Кухня», «Магазин», «Гараж», «Больница», наборы посуды, «Фрукты», «Овощи», «Домашние и дикие животные», «Транспорт», куклы, коляски для кукол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оборудование, игровое модульное оборудование для развития движений обеспечивает решение задач по сохранению и укреплению здоровья детей, развитию двигательной активности каждого ребенка 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Кроме того, в ДОУ имеются 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средства обучения, в том числе магнитофоны, телевизоры, музыкальный центр, диапроектор, фотоаппарат. 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Наличие компьютерной техники обеспечивает использование в образовательном процессе  современных мультимедийных программ. Компьютер, ноутбуки - 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инструментом для  обработки информации, техническим средством обучения, средством коммуникации, необходимыми для совместной деятельности педагогов, родителей и детей.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ДОУ  создается информационная среда. Проведение мероприятий с родителям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использованием компьютерной презентации, фото - презентации, видео роликов, видеосюжетов позволило родителям увидеть жизнь детского сада «изнутри», увеличить информированность родителей об образовательных проектах, реализуемых в ДОУ. В ДОУ  функциониру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сайт детского сада.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Анализ  мнения участников образовательных отношений о деятельности ДОУ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соответствии с Федеральным законом «Об образовании в Российской Федерации»  одной из основных задач, стоящих перед детским садом,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«взаимодействие с  семьей для обеспечения полноценного развития ребенка».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удовлетворенности родителей качеством образования, работой дошкольного образовательного учреждения и его педагогического коллектива (по результатам анкетирования)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«Полност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 удовлетворен» - 95%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«Частично удовлетворен»    - 5%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удовлетворен»               - 0%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Так 95 %(42 человека) родителей удовлетворены качеством дошкольного образования в ДОУ,  уточняя его содержательные характеристики (да все устраивает; дети 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все необходимое; много слышу  положительного от ребенка о деятельности в ДОУ; видны мероприятия направленные  на развитие детей; ребенок постоянно показывает новые знания; мой ребенок здоров, счастлив с удовольствием ходит в детский сад, а для нас это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важно).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Однако, 5% (2 человека) родителей  качеством дошкольного образования удовлетворены частично, в большинстве это родители, чьи дети часто пропускают детский сад без особых на это причин.  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следующие формы работы с родителями: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родительских собраний, консультаций;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беседы (индивидуальные и групповые);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совместные мероприятия;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 детских работ;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папки-передвижки, информационные стенды, анкетирование;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(знакомство с детским садом)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библиотечно – информационного обеспечения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иц. Приобретены наглядные и дидактические пособия по возрастным группам.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качества дошкольного образования  мы рассматриваем как систему контроля внутри ДОУ, которая включает себ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  интегративные составляющие: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воспитательно-образовательного процесса;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 с родителями;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 с педагогическими кадрами;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предметно-пространственной среды.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С целью повышения эффективности учебно-воспитате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 система методического контроля и анализа результативности воспитательн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о-образовательного процесса по всем направлениям развития дошкольника и функционирования ДОУ в целом.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педагогов: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pPr w:leftFromText="180" w:rightFromText="180" w:vertAnchor="text" w:tblpXSpec="center" w:tblpY="180"/>
        <w:tblW w:w="8787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3053"/>
        <w:gridCol w:w="2394"/>
        <w:gridCol w:w="2392"/>
      </w:tblGrid>
      <w:tr w:rsidR="00FD4EDD" w:rsidTr="003E7EB6">
        <w:trPr>
          <w:trHeight w:val="148"/>
          <w:jc w:val="center"/>
        </w:trPr>
        <w:tc>
          <w:tcPr>
            <w:tcW w:w="947" w:type="dxa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239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392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2021год</w:t>
            </w:r>
          </w:p>
        </w:tc>
      </w:tr>
      <w:tr w:rsidR="00FD4EDD" w:rsidTr="003E7EB6">
        <w:trPr>
          <w:trHeight w:val="148"/>
          <w:jc w:val="center"/>
        </w:trPr>
        <w:tc>
          <w:tcPr>
            <w:tcW w:w="947" w:type="dxa"/>
            <w:shd w:val="clear" w:color="auto" w:fill="92D050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31 и более</w:t>
            </w:r>
          </w:p>
        </w:tc>
        <w:tc>
          <w:tcPr>
            <w:tcW w:w="239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4EDD" w:rsidTr="003E7EB6">
        <w:trPr>
          <w:trHeight w:val="148"/>
          <w:jc w:val="center"/>
        </w:trPr>
        <w:tc>
          <w:tcPr>
            <w:tcW w:w="947" w:type="dxa"/>
            <w:shd w:val="clear" w:color="auto" w:fill="C00000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15 до 30 лет</w:t>
            </w:r>
          </w:p>
        </w:tc>
        <w:tc>
          <w:tcPr>
            <w:tcW w:w="239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2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4EDD" w:rsidTr="003E7EB6">
        <w:trPr>
          <w:trHeight w:val="155"/>
          <w:jc w:val="center"/>
        </w:trPr>
        <w:tc>
          <w:tcPr>
            <w:tcW w:w="947" w:type="dxa"/>
            <w:shd w:val="clear" w:color="auto" w:fill="0070C0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 до 5 лет</w:t>
            </w:r>
          </w:p>
        </w:tc>
        <w:tc>
          <w:tcPr>
            <w:tcW w:w="239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педагогических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ДОУ: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3054"/>
        <w:gridCol w:w="3495"/>
        <w:gridCol w:w="2393"/>
      </w:tblGrid>
      <w:tr w:rsidR="00FD4EDD">
        <w:trPr>
          <w:trHeight w:val="148"/>
          <w:jc w:val="center"/>
        </w:trPr>
        <w:tc>
          <w:tcPr>
            <w:tcW w:w="947" w:type="dxa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 педагога</w:t>
            </w:r>
          </w:p>
        </w:tc>
        <w:tc>
          <w:tcPr>
            <w:tcW w:w="349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39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год</w:t>
            </w:r>
          </w:p>
        </w:tc>
      </w:tr>
      <w:tr w:rsidR="00FD4EDD">
        <w:trPr>
          <w:trHeight w:val="148"/>
          <w:jc w:val="center"/>
        </w:trPr>
        <w:tc>
          <w:tcPr>
            <w:tcW w:w="947" w:type="dxa"/>
            <w:shd w:val="clear" w:color="auto" w:fill="92D050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51 и более</w:t>
            </w:r>
          </w:p>
        </w:tc>
        <w:tc>
          <w:tcPr>
            <w:tcW w:w="349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D4EDD">
        <w:trPr>
          <w:trHeight w:val="148"/>
          <w:jc w:val="center"/>
        </w:trPr>
        <w:tc>
          <w:tcPr>
            <w:tcW w:w="947" w:type="dxa"/>
            <w:shd w:val="clear" w:color="auto" w:fill="C00000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41 до 50 лет</w:t>
            </w:r>
          </w:p>
        </w:tc>
        <w:tc>
          <w:tcPr>
            <w:tcW w:w="349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D4EDD">
        <w:trPr>
          <w:trHeight w:val="155"/>
          <w:jc w:val="center"/>
        </w:trPr>
        <w:tc>
          <w:tcPr>
            <w:tcW w:w="947" w:type="dxa"/>
            <w:shd w:val="clear" w:color="auto" w:fill="0070C0"/>
          </w:tcPr>
          <w:p w:rsidR="00FD4EDD" w:rsidRDefault="00FD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30 до 40 лет</w:t>
            </w:r>
          </w:p>
        </w:tc>
        <w:tc>
          <w:tcPr>
            <w:tcW w:w="3495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D4EDD" w:rsidRDefault="003E7E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Диаграмма.  Оценка  родителей о работе детского сада.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удовлетворенности родителей качеством образования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и его педагогического коллектива (по результатам анкетирования)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«Полностью удовлетворен» - 95%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«Частично удовлетворен»    - 5%</w:t>
      </w: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удовлетворен»               - 0%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3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заведующего: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А.А.</w:t>
      </w:r>
    </w:p>
    <w:p w:rsidR="00FD4EDD" w:rsidRDefault="00FD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DD" w:rsidRDefault="00FD4EDD">
      <w:pPr>
        <w:jc w:val="right"/>
        <w:rPr>
          <w:rFonts w:eastAsiaTheme="minorEastAsia"/>
          <w:b/>
          <w:bCs/>
          <w:color w:val="26282F"/>
          <w:sz w:val="24"/>
          <w:szCs w:val="24"/>
          <w:lang w:eastAsia="ru-RU"/>
        </w:rPr>
      </w:pPr>
    </w:p>
    <w:p w:rsidR="00FD4EDD" w:rsidRDefault="003E7EB6">
      <w:pPr>
        <w:jc w:val="right"/>
        <w:rPr>
          <w:rFonts w:eastAsiaTheme="minorEastAsia"/>
          <w:sz w:val="24"/>
          <w:szCs w:val="24"/>
          <w:lang w:eastAsia="ru-RU"/>
        </w:rPr>
      </w:pPr>
      <w:bookmarkStart w:id="1" w:name="sub_1000"/>
      <w:r>
        <w:rPr>
          <w:rFonts w:eastAsiaTheme="minorEastAsia"/>
          <w:b/>
          <w:bCs/>
          <w:color w:val="26282F"/>
          <w:sz w:val="24"/>
          <w:szCs w:val="24"/>
          <w:lang w:eastAsia="ru-RU"/>
        </w:rPr>
        <w:t>Приложение N</w:t>
      </w:r>
      <w:bookmarkEnd w:id="1"/>
      <w:r>
        <w:rPr>
          <w:rFonts w:eastAsiaTheme="minorEastAsia"/>
          <w:b/>
          <w:bCs/>
          <w:color w:val="26282F"/>
          <w:sz w:val="24"/>
          <w:szCs w:val="24"/>
          <w:lang w:eastAsia="ru-RU"/>
        </w:rPr>
        <w:t>1</w:t>
      </w:r>
    </w:p>
    <w:p w:rsidR="00FD4EDD" w:rsidRDefault="003E7EB6">
      <w:pPr>
        <w:keepNext/>
        <w:keepLines/>
        <w:spacing w:before="480" w:after="0"/>
        <w:outlineLvl w:val="0"/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</w:pPr>
      <w:r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  <w:t>Показатели деятельности дошкольной образовательной организации, подлежащей самообследованию</w:t>
      </w:r>
      <w:r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  <w:br/>
        <w:t xml:space="preserve">(утв. </w:t>
      </w:r>
      <w:hyperlink r:id="rId7" w:anchor="sub_0" w:history="1">
        <w:r>
          <w:rPr>
            <w:rFonts w:ascii="Times New Roman" w:eastAsiaTheme="minorEastAsia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  <w:t>Министерства образования и науки РФ от 10 декабря 2013 г. N 1324)</w:t>
      </w:r>
    </w:p>
    <w:p w:rsidR="00FD4EDD" w:rsidRDefault="00FD4EDD">
      <w:pPr>
        <w:rPr>
          <w:rFonts w:eastAsiaTheme="minorEastAsia"/>
          <w:sz w:val="24"/>
          <w:szCs w:val="24"/>
          <w:lang w:eastAsia="ru-RU"/>
        </w:rPr>
      </w:pPr>
    </w:p>
    <w:tbl>
      <w:tblPr>
        <w:tblW w:w="1526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120"/>
        <w:gridCol w:w="11759"/>
        <w:gridCol w:w="2381"/>
      </w:tblGrid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keepNext/>
              <w:keepLines/>
              <w:widowControl w:val="0"/>
              <w:spacing w:before="480" w:after="0"/>
              <w:outlineLvl w:val="0"/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bookmarkStart w:id="2" w:name="sub_1001"/>
            <w:r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FD4EDD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" w:name="sub_101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  <w:bookmarkEnd w:id="3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44 человека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" w:name="sub_111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1.1.1</w:t>
            </w:r>
            <w:bookmarkEnd w:id="4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44человека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5" w:name="sub_111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1.1.2</w:t>
            </w:r>
            <w:bookmarkEnd w:id="5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6" w:name="sub_111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1.1.3</w:t>
            </w:r>
            <w:bookmarkEnd w:id="6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семейной дошкольной группе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" w:name="sub_1114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1.1.4</w:t>
            </w:r>
            <w:bookmarkEnd w:id="7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8" w:name="sub_101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  <w:bookmarkEnd w:id="8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10человек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9" w:name="sub_101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</w:t>
            </w:r>
            <w:bookmarkEnd w:id="9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воспитанников в возрасте от 3 до 8 лет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34 человек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0" w:name="sub_1014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</w:t>
            </w:r>
            <w:bookmarkEnd w:id="10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Численность/удельный вес численности воспитанников в общей численности воспитанников,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получающих услуги присмотра и ухода: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44 человека/100%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1" w:name="sub_114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1.4.1</w:t>
            </w:r>
            <w:bookmarkEnd w:id="11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44человека/100%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2" w:name="sub_114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1.4.2</w:t>
            </w:r>
            <w:bookmarkEnd w:id="12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0человек/0%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3" w:name="sub_114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1.4.3</w:t>
            </w:r>
            <w:bookmarkEnd w:id="13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0человек/0%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4" w:name="sub_1015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</w:t>
            </w:r>
            <w:bookmarkEnd w:id="14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воспитанников, получающих услуги: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человека/ 3,9%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5" w:name="sub_115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1.5.1</w:t>
            </w:r>
            <w:bookmarkEnd w:id="15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1человек/1.96%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6" w:name="sub_115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1.5.2</w:t>
            </w:r>
            <w:bookmarkEnd w:id="16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1человек/1,96%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7" w:name="sub_115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1.5.3</w:t>
            </w:r>
            <w:bookmarkEnd w:id="17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1человек/1,96%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8" w:name="sub_1016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1.6</w:t>
            </w:r>
            <w:bookmarkEnd w:id="18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6,0 дней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9" w:name="sub_1017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</w:t>
            </w:r>
            <w:bookmarkEnd w:id="19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человек</w:t>
            </w:r>
          </w:p>
        </w:tc>
      </w:tr>
      <w:tr w:rsidR="00FD4EDD">
        <w:trPr>
          <w:trHeight w:val="68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0" w:name="sub_117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1.7.1</w:t>
            </w:r>
            <w:bookmarkEnd w:id="20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численности педагогических работников, имеющих высшее образование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0чел./0%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1" w:name="sub_117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1.7.2</w:t>
            </w:r>
            <w:bookmarkEnd w:id="21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1чел./0%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2" w:name="sub_117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1.7.3</w:t>
            </w:r>
            <w:bookmarkEnd w:id="22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Численность/удельный вес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численности педагогических работников, имеющих среднее профессиональное образование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4чел./ 80%</w:t>
            </w:r>
          </w:p>
        </w:tc>
      </w:tr>
      <w:tr w:rsidR="00FD4EDD">
        <w:trPr>
          <w:trHeight w:val="731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3" w:name="sub_1174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1.7.4</w:t>
            </w:r>
            <w:bookmarkEnd w:id="23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4чел.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/80%</w:t>
            </w:r>
          </w:p>
        </w:tc>
      </w:tr>
      <w:tr w:rsidR="00FD4EDD">
        <w:trPr>
          <w:trHeight w:val="1311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4" w:name="sub_1018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1.8</w:t>
            </w:r>
            <w:bookmarkEnd w:id="24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 человека/ 80%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5" w:name="sub_118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1.8.1</w:t>
            </w:r>
            <w:bookmarkEnd w:id="25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0чел. /0%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6" w:name="sub_118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1.8.2</w:t>
            </w:r>
            <w:bookmarkEnd w:id="26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4человека/80%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7" w:name="sub_1019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1.9</w:t>
            </w:r>
            <w:bookmarkEnd w:id="27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человек /100%</w:t>
            </w:r>
          </w:p>
          <w:p w:rsidR="00FD4EDD" w:rsidRDefault="00FD4EDD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8" w:name="sub_119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1.9.1</w:t>
            </w:r>
            <w:bookmarkEnd w:id="28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0чел./0%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9" w:name="sub_119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1.9.2</w:t>
            </w:r>
            <w:bookmarkEnd w:id="29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2человек/40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0" w:name="sub_1110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1.10</w:t>
            </w:r>
            <w:bookmarkEnd w:id="30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0человек/0%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1" w:name="sub_1101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1.11</w:t>
            </w:r>
            <w:bookmarkEnd w:id="31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работников в возрасте от 55 лет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1человек/20%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2" w:name="sub_1101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1.12</w:t>
            </w:r>
            <w:bookmarkEnd w:id="32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человек/85,7%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3" w:name="sub_1101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1.13</w:t>
            </w:r>
            <w:bookmarkEnd w:id="33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6человек/85,7%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4" w:name="sub_11014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1.14</w:t>
            </w:r>
            <w:bookmarkEnd w:id="34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Соотно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шение "педагогический работник/воспитанник" в дошкольной образовательной организации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1человек/11 человек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5" w:name="sub_11015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</w:t>
            </w:r>
            <w:bookmarkEnd w:id="35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FD4EDD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6" w:name="sub_1115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1.15.1</w:t>
            </w:r>
            <w:bookmarkEnd w:id="36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7" w:name="sub_1115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1.15.2</w:t>
            </w:r>
            <w:bookmarkEnd w:id="37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Инструктора по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физической культуре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8" w:name="sub_1115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1.15.3</w:t>
            </w:r>
            <w:bookmarkEnd w:id="38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Нет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9" w:name="sub_11154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1.15.4</w:t>
            </w:r>
            <w:bookmarkEnd w:id="39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0" w:name="sub_11155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1.15.5</w:t>
            </w:r>
            <w:bookmarkEnd w:id="40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1" w:name="sub_11156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1.15.6</w:t>
            </w:r>
            <w:bookmarkEnd w:id="41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keepNext/>
              <w:keepLines/>
              <w:widowControl w:val="0"/>
              <w:spacing w:before="480" w:after="0"/>
              <w:outlineLvl w:val="0"/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bookmarkStart w:id="42" w:name="sub_1002"/>
            <w:r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  <w:t>2.</w:t>
            </w:r>
            <w:bookmarkEnd w:id="42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FD4EDD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3" w:name="sub_1021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</w:t>
            </w:r>
            <w:bookmarkEnd w:id="43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расчете на одного воспитанника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4,92кв.м.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4" w:name="sub_1022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2.2</w:t>
            </w:r>
            <w:bookmarkEnd w:id="44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73,8 кв.м.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5" w:name="sub_1023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2.3</w:t>
            </w:r>
            <w:bookmarkEnd w:id="45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6" w:name="sub_1024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2.4</w:t>
            </w:r>
            <w:bookmarkEnd w:id="46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музыкального зала ( совмещен с физкультурным)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</w:t>
            </w:r>
          </w:p>
        </w:tc>
      </w:tr>
      <w:tr w:rsidR="00FD4ED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7" w:name="sub_1025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2.5</w:t>
            </w:r>
            <w:bookmarkEnd w:id="47"/>
          </w:p>
        </w:tc>
        <w:tc>
          <w:tcPr>
            <w:tcW w:w="1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DD" w:rsidRDefault="003E7EB6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</w:t>
            </w:r>
          </w:p>
        </w:tc>
      </w:tr>
    </w:tbl>
    <w:p w:rsidR="00FD4EDD" w:rsidRDefault="003E7EB6">
      <w:pPr>
        <w:rPr>
          <w:sz w:val="24"/>
          <w:szCs w:val="24"/>
        </w:rPr>
      </w:pPr>
      <w:r>
        <w:rPr>
          <w:sz w:val="24"/>
          <w:szCs w:val="24"/>
        </w:rPr>
        <w:t>И.о.заведующего:                              Куликова А.А.</w:t>
      </w:r>
    </w:p>
    <w:sectPr w:rsidR="00FD4EDD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D"/>
    <w:rsid w:val="003E7EB6"/>
    <w:rsid w:val="00F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A003D-A169-4C58-B87F-6A370A90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7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31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317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31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C3177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3">
    <w:name w:val="Текст Знак"/>
    <w:basedOn w:val="a0"/>
    <w:qFormat/>
    <w:rsid w:val="00C31772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c6">
    <w:name w:val="c6"/>
    <w:basedOn w:val="a0"/>
    <w:qFormat/>
    <w:rsid w:val="00C31772"/>
  </w:style>
  <w:style w:type="character" w:customStyle="1" w:styleId="a4">
    <w:name w:val="Цветовое выделение"/>
    <w:uiPriority w:val="99"/>
    <w:qFormat/>
    <w:rsid w:val="00C31772"/>
    <w:rPr>
      <w:b/>
      <w:bCs w:val="0"/>
      <w:color w:val="26282F"/>
    </w:rPr>
  </w:style>
  <w:style w:type="character" w:customStyle="1" w:styleId="a5">
    <w:name w:val="Гипертекстовая ссылка"/>
    <w:basedOn w:val="a4"/>
    <w:uiPriority w:val="99"/>
    <w:qFormat/>
    <w:rsid w:val="00C31772"/>
    <w:rPr>
      <w:rFonts w:ascii="Times New Roman" w:hAnsi="Times New Roman" w:cs="Times New Roman"/>
      <w:b/>
      <w:bCs w:val="0"/>
      <w:color w:val="106BBE"/>
    </w:rPr>
  </w:style>
  <w:style w:type="character" w:customStyle="1" w:styleId="a6">
    <w:name w:val="Текст выноски Знак"/>
    <w:basedOn w:val="a0"/>
    <w:uiPriority w:val="99"/>
    <w:semiHidden/>
    <w:qFormat/>
    <w:rsid w:val="00C3177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Plain Text"/>
    <w:basedOn w:val="a"/>
    <w:qFormat/>
    <w:rsid w:val="00C31772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d">
    <w:name w:val="No Spacing"/>
    <w:uiPriority w:val="1"/>
    <w:qFormat/>
    <w:rsid w:val="00C31772"/>
    <w:rPr>
      <w:rFonts w:eastAsia="Times New Roman" w:cs="Times New Roman"/>
      <w:lang w:eastAsia="ru-RU"/>
    </w:rPr>
  </w:style>
  <w:style w:type="paragraph" w:customStyle="1" w:styleId="ae">
    <w:name w:val="Нормальный (таблица)"/>
    <w:basedOn w:val="a"/>
    <w:next w:val="a"/>
    <w:uiPriority w:val="99"/>
    <w:qFormat/>
    <w:rsid w:val="00C31772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C31772"/>
    <w:pPr>
      <w:widowControl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C317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C31772"/>
  </w:style>
  <w:style w:type="table" w:styleId="af4">
    <w:name w:val="Table Grid"/>
    <w:basedOn w:val="a1"/>
    <w:uiPriority w:val="59"/>
    <w:rsid w:val="00C3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MicroArt\AppData\Local\%25D0%2592%25D0%25BB%25D0%25B0%25D0%25B4%25D0%25B5%25D0%25BB%25D0%25B5%25D1%2586\Desktop\%25D1%2581%25D0%25B0%25D0%25BC%25D0%25BE%25D0%25BE%25D0%25B1%25D1%2581%25D0%25BB%25D0%25B5%25D0%25B4%25D0%25BE%25D0%25B2%25D0%25B0%25D0%25BD%25D0%25B8%25D0%25B5\%25D0%25BF%25D1%2580%25D0%25B8%25D0%25BA%25D0%25B0%25D0%25B7%20%25D0%25BE%25D1%2582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Категория 1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6A-4FE0-8CF2-6956A4EF9D97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Категория 1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6A-4FE0-8CF2-6956A4EF9D97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Категория 1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6A-4FE0-8CF2-6956A4EF9D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398677"/>
        <c:axId val="4174199"/>
      </c:barChart>
      <c:catAx>
        <c:axId val="8939867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4174199"/>
        <c:crosses val="autoZero"/>
        <c:auto val="1"/>
        <c:lblAlgn val="ctr"/>
        <c:lblOffset val="100"/>
        <c:noMultiLvlLbl val="0"/>
      </c:catAx>
      <c:valAx>
        <c:axId val="4174199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89398677"/>
        <c:crosses val="autoZero"/>
        <c:crossBetween val="between"/>
      </c:valAx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Категория 1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A-4BCF-B9B6-DF84EB55E6EA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Категория 1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7A-4BCF-B9B6-DF84EB55E6EA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Категория 1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7A-4BCF-B9B6-DF84EB55E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45245"/>
        <c:axId val="1548523"/>
      </c:barChart>
      <c:catAx>
        <c:axId val="2234524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548523"/>
        <c:crosses val="autoZero"/>
        <c:auto val="1"/>
        <c:lblAlgn val="ctr"/>
        <c:lblOffset val="100"/>
        <c:noMultiLvlLbl val="0"/>
      </c:catAx>
      <c:valAx>
        <c:axId val="1548523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2345245"/>
        <c:crosses val="autoZero"/>
        <c:crossBetween val="between"/>
      </c:valAx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Оценка родителями работы детского сада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Оценка родителями работы детского сада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E537-432E-8605-FAFDD7FD58B7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E537-432E-8605-FAFDD7FD58B7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5-E537-432E-8605-FAFDD7FD58B7}"/>
              </c:ext>
            </c:extLst>
          </c:dPt>
          <c:dPt>
            <c:idx val="3"/>
            <c:bubble3D val="0"/>
            <c:spPr>
              <a:solidFill>
                <a:srgbClr val="8064A2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7-E537-432E-8605-FAFDD7FD58B7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37-432E-8605-FAFDD7FD58B7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37-432E-8605-FAFDD7FD58B7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37-432E-8605-FAFDD7FD58B7}"/>
                </c:ext>
              </c:extLst>
            </c:dLbl>
            <c:dLbl>
              <c:idx val="3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537-432E-8605-FAFDD7FD58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Кв. 1</c:v>
                </c:pt>
                <c:pt idx="1">
                  <c:v>Кв. 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37-432E-8605-FAFDD7FD58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4652</Words>
  <Characters>26522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MicroArt</cp:lastModifiedBy>
  <cp:revision>2</cp:revision>
  <cp:lastPrinted>2021-04-06T05:49:00Z</cp:lastPrinted>
  <dcterms:created xsi:type="dcterms:W3CDTF">2022-06-09T08:40:00Z</dcterms:created>
  <dcterms:modified xsi:type="dcterms:W3CDTF">2022-06-09T08:40:00Z</dcterms:modified>
  <dc:language>ru-RU</dc:language>
</cp:coreProperties>
</file>